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60F3" w14:textId="0BB3F323" w:rsidR="001F30AF" w:rsidRDefault="001F30AF" w:rsidP="001F30AF">
      <w:pPr>
        <w:pStyle w:val="Heading1"/>
        <w:rPr>
          <w:rFonts w:asciiTheme="minorHAnsi" w:hAnsiTheme="minorHAnsi"/>
          <w:color w:val="auto"/>
          <w:spacing w:val="-2"/>
        </w:rPr>
      </w:pPr>
      <w:r w:rsidRPr="001F30AF">
        <w:rPr>
          <w:rFonts w:asciiTheme="minorHAnsi" w:hAnsiTheme="minorHAnsi"/>
          <w:color w:val="auto"/>
        </w:rPr>
        <w:t>Guidelines for</w:t>
      </w:r>
      <w:r w:rsidRPr="001F30AF">
        <w:rPr>
          <w:rFonts w:asciiTheme="minorHAnsi" w:hAnsiTheme="minorHAnsi"/>
          <w:color w:val="auto"/>
          <w:spacing w:val="-1"/>
        </w:rPr>
        <w:t xml:space="preserve"> </w:t>
      </w:r>
      <w:r w:rsidRPr="001F30AF">
        <w:rPr>
          <w:rFonts w:asciiTheme="minorHAnsi" w:hAnsiTheme="minorHAnsi"/>
          <w:color w:val="auto"/>
        </w:rPr>
        <w:t>how</w:t>
      </w:r>
      <w:r w:rsidRPr="001F30AF">
        <w:rPr>
          <w:rFonts w:asciiTheme="minorHAnsi" w:hAnsiTheme="minorHAnsi"/>
          <w:color w:val="auto"/>
          <w:spacing w:val="4"/>
        </w:rPr>
        <w:t xml:space="preserve"> </w:t>
      </w:r>
      <w:r w:rsidRPr="001F30AF">
        <w:rPr>
          <w:rFonts w:asciiTheme="minorHAnsi" w:hAnsiTheme="minorHAnsi"/>
          <w:color w:val="auto"/>
        </w:rPr>
        <w:t>long an animal survey in Virginia is</w:t>
      </w:r>
      <w:r w:rsidRPr="001F30AF">
        <w:rPr>
          <w:rFonts w:asciiTheme="minorHAnsi" w:hAnsiTheme="minorHAnsi"/>
          <w:color w:val="auto"/>
          <w:spacing w:val="1"/>
        </w:rPr>
        <w:t xml:space="preserve"> </w:t>
      </w:r>
      <w:r w:rsidRPr="001F30AF">
        <w:rPr>
          <w:rFonts w:asciiTheme="minorHAnsi" w:hAnsiTheme="minorHAnsi"/>
          <w:color w:val="auto"/>
          <w:spacing w:val="-2"/>
        </w:rPr>
        <w:t>valid</w:t>
      </w:r>
    </w:p>
    <w:p w14:paraId="11833380" w14:textId="77777777" w:rsidR="00482513" w:rsidRPr="00482513" w:rsidRDefault="00482513" w:rsidP="00482513"/>
    <w:p w14:paraId="0C0496F9" w14:textId="77777777" w:rsidR="001F30AF" w:rsidRPr="001F30AF" w:rsidRDefault="001F30AF" w:rsidP="001F30AF">
      <w:pPr>
        <w:pStyle w:val="BodyText"/>
        <w:spacing w:before="1" w:line="247" w:lineRule="auto"/>
        <w:ind w:left="120" w:right="116"/>
        <w:rPr>
          <w:rFonts w:asciiTheme="minorHAnsi" w:hAnsiTheme="minorHAnsi"/>
        </w:rPr>
      </w:pPr>
      <w:r w:rsidRPr="001F30AF">
        <w:rPr>
          <w:rFonts w:asciiTheme="minorHAnsi" w:hAnsiTheme="minorHAnsi"/>
        </w:rPr>
        <w:t>If</w:t>
      </w:r>
      <w:r w:rsidRPr="001F30AF">
        <w:rPr>
          <w:rFonts w:asciiTheme="minorHAnsi" w:hAnsiTheme="minorHAnsi"/>
          <w:spacing w:val="-2"/>
        </w:rPr>
        <w:t xml:space="preserve"> </w:t>
      </w:r>
      <w:r w:rsidRPr="001F30AF">
        <w:rPr>
          <w:rFonts w:asciiTheme="minorHAnsi" w:hAnsiTheme="minorHAnsi"/>
        </w:rPr>
        <w:t>a</w:t>
      </w:r>
      <w:r w:rsidRPr="001F30AF">
        <w:rPr>
          <w:rFonts w:asciiTheme="minorHAnsi" w:hAnsiTheme="minorHAnsi"/>
          <w:spacing w:val="-2"/>
        </w:rPr>
        <w:t xml:space="preserve"> </w:t>
      </w:r>
      <w:r w:rsidRPr="001F30AF">
        <w:rPr>
          <w:rFonts w:asciiTheme="minorHAnsi" w:hAnsiTheme="minorHAnsi"/>
        </w:rPr>
        <w:t>survey,</w:t>
      </w:r>
      <w:r w:rsidRPr="001F30AF">
        <w:rPr>
          <w:rFonts w:asciiTheme="minorHAnsi" w:hAnsiTheme="minorHAnsi"/>
          <w:spacing w:val="-1"/>
        </w:rPr>
        <w:t xml:space="preserve"> </w:t>
      </w:r>
      <w:r w:rsidRPr="001F30AF">
        <w:rPr>
          <w:rFonts w:asciiTheme="minorHAnsi" w:hAnsiTheme="minorHAnsi"/>
        </w:rPr>
        <w:t>however</w:t>
      </w:r>
      <w:r w:rsidRPr="001F30AF">
        <w:rPr>
          <w:rFonts w:asciiTheme="minorHAnsi" w:hAnsiTheme="minorHAnsi"/>
          <w:spacing w:val="-2"/>
        </w:rPr>
        <w:t xml:space="preserve"> </w:t>
      </w:r>
      <w:r w:rsidRPr="001F30AF">
        <w:rPr>
          <w:rFonts w:asciiTheme="minorHAnsi" w:hAnsiTheme="minorHAnsi"/>
        </w:rPr>
        <w:t>old,</w:t>
      </w:r>
      <w:r w:rsidRPr="001F30AF">
        <w:rPr>
          <w:rFonts w:asciiTheme="minorHAnsi" w:hAnsiTheme="minorHAnsi"/>
          <w:spacing w:val="-1"/>
        </w:rPr>
        <w:t xml:space="preserve"> </w:t>
      </w:r>
      <w:r w:rsidRPr="001F30AF">
        <w:rPr>
          <w:rFonts w:asciiTheme="minorHAnsi" w:hAnsiTheme="minorHAnsi"/>
        </w:rPr>
        <w:t>has</w:t>
      </w:r>
      <w:r w:rsidRPr="001F30AF">
        <w:rPr>
          <w:rFonts w:asciiTheme="minorHAnsi" w:hAnsiTheme="minorHAnsi"/>
          <w:spacing w:val="-1"/>
        </w:rPr>
        <w:t xml:space="preserve"> </w:t>
      </w:r>
      <w:r w:rsidRPr="001F30AF">
        <w:rPr>
          <w:rFonts w:asciiTheme="minorHAnsi" w:hAnsiTheme="minorHAnsi"/>
        </w:rPr>
        <w:t>a</w:t>
      </w:r>
      <w:r w:rsidRPr="001F30AF">
        <w:rPr>
          <w:rFonts w:asciiTheme="minorHAnsi" w:hAnsiTheme="minorHAnsi"/>
          <w:spacing w:val="-2"/>
        </w:rPr>
        <w:t xml:space="preserve"> </w:t>
      </w:r>
      <w:r w:rsidRPr="001F30AF">
        <w:rPr>
          <w:rFonts w:asciiTheme="minorHAnsi" w:hAnsiTheme="minorHAnsi"/>
        </w:rPr>
        <w:t>positive</w:t>
      </w:r>
      <w:r w:rsidRPr="001F30AF">
        <w:rPr>
          <w:rFonts w:asciiTheme="minorHAnsi" w:hAnsiTheme="minorHAnsi"/>
          <w:spacing w:val="-2"/>
        </w:rPr>
        <w:t xml:space="preserve"> </w:t>
      </w:r>
      <w:r w:rsidRPr="001F30AF">
        <w:rPr>
          <w:rFonts w:asciiTheme="minorHAnsi" w:hAnsiTheme="minorHAnsi"/>
        </w:rPr>
        <w:t>species</w:t>
      </w:r>
      <w:r w:rsidRPr="001F30AF">
        <w:rPr>
          <w:rFonts w:asciiTheme="minorHAnsi" w:hAnsiTheme="minorHAnsi"/>
          <w:spacing w:val="-1"/>
        </w:rPr>
        <w:t xml:space="preserve"> </w:t>
      </w:r>
      <w:r w:rsidRPr="001F30AF">
        <w:rPr>
          <w:rFonts w:asciiTheme="minorHAnsi" w:hAnsiTheme="minorHAnsi"/>
        </w:rPr>
        <w:t>occurrence,</w:t>
      </w:r>
      <w:r w:rsidRPr="001F30AF">
        <w:rPr>
          <w:rFonts w:asciiTheme="minorHAnsi" w:hAnsiTheme="minorHAnsi"/>
          <w:spacing w:val="-1"/>
        </w:rPr>
        <w:t xml:space="preserve"> </w:t>
      </w:r>
      <w:r w:rsidRPr="001F30AF">
        <w:rPr>
          <w:rFonts w:asciiTheme="minorHAnsi" w:hAnsiTheme="minorHAnsi"/>
        </w:rPr>
        <w:t>further</w:t>
      </w:r>
      <w:r w:rsidRPr="001F30AF">
        <w:rPr>
          <w:rFonts w:asciiTheme="minorHAnsi" w:hAnsiTheme="minorHAnsi"/>
          <w:spacing w:val="-2"/>
        </w:rPr>
        <w:t xml:space="preserve"> </w:t>
      </w:r>
      <w:r w:rsidRPr="001F30AF">
        <w:rPr>
          <w:rFonts w:asciiTheme="minorHAnsi" w:hAnsiTheme="minorHAnsi"/>
        </w:rPr>
        <w:t>coordination</w:t>
      </w:r>
      <w:r w:rsidRPr="001F30AF">
        <w:rPr>
          <w:rFonts w:asciiTheme="minorHAnsi" w:hAnsiTheme="minorHAnsi"/>
          <w:spacing w:val="-1"/>
        </w:rPr>
        <w:t xml:space="preserve"> </w:t>
      </w:r>
      <w:r w:rsidRPr="001F30AF">
        <w:rPr>
          <w:rFonts w:asciiTheme="minorHAnsi" w:hAnsiTheme="minorHAnsi"/>
        </w:rPr>
        <w:t>with</w:t>
      </w:r>
      <w:r w:rsidRPr="001F30AF">
        <w:rPr>
          <w:rFonts w:asciiTheme="minorHAnsi" w:hAnsiTheme="minorHAnsi"/>
          <w:spacing w:val="-1"/>
        </w:rPr>
        <w:t xml:space="preserve"> </w:t>
      </w:r>
      <w:r w:rsidRPr="001F30AF">
        <w:rPr>
          <w:rFonts w:asciiTheme="minorHAnsi" w:hAnsiTheme="minorHAnsi"/>
        </w:rPr>
        <w:t>the</w:t>
      </w:r>
      <w:r w:rsidRPr="001F30AF">
        <w:rPr>
          <w:rFonts w:asciiTheme="minorHAnsi" w:hAnsiTheme="minorHAnsi"/>
          <w:spacing w:val="-2"/>
        </w:rPr>
        <w:t xml:space="preserve"> </w:t>
      </w:r>
      <w:r w:rsidRPr="001F30AF">
        <w:rPr>
          <w:rFonts w:asciiTheme="minorHAnsi" w:hAnsiTheme="minorHAnsi"/>
        </w:rPr>
        <w:t>U.S.</w:t>
      </w:r>
      <w:r w:rsidRPr="001F30AF">
        <w:rPr>
          <w:rFonts w:asciiTheme="minorHAnsi" w:hAnsiTheme="minorHAnsi"/>
          <w:spacing w:val="-1"/>
        </w:rPr>
        <w:t xml:space="preserve"> </w:t>
      </w:r>
      <w:r w:rsidRPr="001F30AF">
        <w:rPr>
          <w:rFonts w:asciiTheme="minorHAnsi" w:hAnsiTheme="minorHAnsi"/>
        </w:rPr>
        <w:t>Fish</w:t>
      </w:r>
      <w:r w:rsidRPr="001F30AF">
        <w:rPr>
          <w:rFonts w:asciiTheme="minorHAnsi" w:hAnsiTheme="minorHAnsi"/>
          <w:spacing w:val="-1"/>
        </w:rPr>
        <w:t xml:space="preserve"> </w:t>
      </w:r>
      <w:r w:rsidRPr="001F30AF">
        <w:rPr>
          <w:rFonts w:asciiTheme="minorHAnsi" w:hAnsiTheme="minorHAnsi"/>
        </w:rPr>
        <w:t>and Wildlife</w:t>
      </w:r>
      <w:r w:rsidRPr="001F30AF">
        <w:rPr>
          <w:rFonts w:asciiTheme="minorHAnsi" w:hAnsiTheme="minorHAnsi"/>
          <w:spacing w:val="-4"/>
        </w:rPr>
        <w:t xml:space="preserve"> </w:t>
      </w:r>
      <w:r w:rsidRPr="001F30AF">
        <w:rPr>
          <w:rFonts w:asciiTheme="minorHAnsi" w:hAnsiTheme="minorHAnsi"/>
        </w:rPr>
        <w:t>Service</w:t>
      </w:r>
      <w:r w:rsidRPr="001F30AF">
        <w:rPr>
          <w:rFonts w:asciiTheme="minorHAnsi" w:hAnsiTheme="minorHAnsi"/>
          <w:spacing w:val="-4"/>
        </w:rPr>
        <w:t xml:space="preserve"> </w:t>
      </w:r>
      <w:r w:rsidRPr="001F30AF">
        <w:rPr>
          <w:rFonts w:asciiTheme="minorHAnsi" w:hAnsiTheme="minorHAnsi"/>
        </w:rPr>
        <w:t>will</w:t>
      </w:r>
      <w:r w:rsidRPr="001F30AF">
        <w:rPr>
          <w:rFonts w:asciiTheme="minorHAnsi" w:hAnsiTheme="minorHAnsi"/>
          <w:spacing w:val="-3"/>
        </w:rPr>
        <w:t xml:space="preserve"> </w:t>
      </w:r>
      <w:r w:rsidRPr="001F30AF">
        <w:rPr>
          <w:rFonts w:asciiTheme="minorHAnsi" w:hAnsiTheme="minorHAnsi"/>
        </w:rPr>
        <w:t>be</w:t>
      </w:r>
      <w:r w:rsidRPr="001F30AF">
        <w:rPr>
          <w:rFonts w:asciiTheme="minorHAnsi" w:hAnsiTheme="minorHAnsi"/>
          <w:spacing w:val="-4"/>
        </w:rPr>
        <w:t xml:space="preserve"> </w:t>
      </w:r>
      <w:r w:rsidRPr="001F30AF">
        <w:rPr>
          <w:rFonts w:asciiTheme="minorHAnsi" w:hAnsiTheme="minorHAnsi"/>
        </w:rPr>
        <w:t>required.</w:t>
      </w:r>
      <w:r w:rsidRPr="001F30AF">
        <w:rPr>
          <w:rFonts w:asciiTheme="minorHAnsi" w:hAnsiTheme="minorHAnsi"/>
          <w:spacing w:val="40"/>
        </w:rPr>
        <w:t xml:space="preserve"> </w:t>
      </w:r>
      <w:r w:rsidRPr="001F30AF">
        <w:rPr>
          <w:rFonts w:asciiTheme="minorHAnsi" w:hAnsiTheme="minorHAnsi"/>
        </w:rPr>
        <w:t>This</w:t>
      </w:r>
      <w:r w:rsidRPr="001F30AF">
        <w:rPr>
          <w:rFonts w:asciiTheme="minorHAnsi" w:hAnsiTheme="minorHAnsi"/>
          <w:spacing w:val="-3"/>
        </w:rPr>
        <w:t xml:space="preserve"> </w:t>
      </w:r>
      <w:r w:rsidRPr="001F30AF">
        <w:rPr>
          <w:rFonts w:asciiTheme="minorHAnsi" w:hAnsiTheme="minorHAnsi"/>
        </w:rPr>
        <w:t>list</w:t>
      </w:r>
      <w:r w:rsidRPr="001F30AF">
        <w:rPr>
          <w:rFonts w:asciiTheme="minorHAnsi" w:hAnsiTheme="minorHAnsi"/>
          <w:spacing w:val="-3"/>
        </w:rPr>
        <w:t xml:space="preserve"> </w:t>
      </w:r>
      <w:r w:rsidRPr="001F30AF">
        <w:rPr>
          <w:rFonts w:asciiTheme="minorHAnsi" w:hAnsiTheme="minorHAnsi"/>
        </w:rPr>
        <w:t>provides</w:t>
      </w:r>
      <w:r w:rsidRPr="001F30AF">
        <w:rPr>
          <w:rFonts w:asciiTheme="minorHAnsi" w:hAnsiTheme="minorHAnsi"/>
          <w:spacing w:val="-3"/>
        </w:rPr>
        <w:t xml:space="preserve"> </w:t>
      </w:r>
      <w:r w:rsidRPr="001F30AF">
        <w:rPr>
          <w:rFonts w:asciiTheme="minorHAnsi" w:hAnsiTheme="minorHAnsi"/>
        </w:rPr>
        <w:t>a</w:t>
      </w:r>
      <w:r w:rsidRPr="001F30AF">
        <w:rPr>
          <w:rFonts w:asciiTheme="minorHAnsi" w:hAnsiTheme="minorHAnsi"/>
          <w:spacing w:val="-4"/>
        </w:rPr>
        <w:t xml:space="preserve"> </w:t>
      </w:r>
      <w:r w:rsidRPr="001F30AF">
        <w:rPr>
          <w:rFonts w:asciiTheme="minorHAnsi" w:hAnsiTheme="minorHAnsi"/>
        </w:rPr>
        <w:t>general</w:t>
      </w:r>
      <w:r w:rsidRPr="001F30AF">
        <w:rPr>
          <w:rFonts w:asciiTheme="minorHAnsi" w:hAnsiTheme="minorHAnsi"/>
          <w:spacing w:val="-3"/>
        </w:rPr>
        <w:t xml:space="preserve"> </w:t>
      </w:r>
      <w:r w:rsidRPr="001F30AF">
        <w:rPr>
          <w:rFonts w:asciiTheme="minorHAnsi" w:hAnsiTheme="minorHAnsi"/>
        </w:rPr>
        <w:t>guideline</w:t>
      </w:r>
      <w:r w:rsidRPr="001F30AF">
        <w:rPr>
          <w:rFonts w:asciiTheme="minorHAnsi" w:hAnsiTheme="minorHAnsi"/>
          <w:spacing w:val="-4"/>
        </w:rPr>
        <w:t xml:space="preserve"> </w:t>
      </w:r>
      <w:r w:rsidRPr="001F30AF">
        <w:rPr>
          <w:rFonts w:asciiTheme="minorHAnsi" w:hAnsiTheme="minorHAnsi"/>
        </w:rPr>
        <w:t>for</w:t>
      </w:r>
      <w:r w:rsidRPr="001F30AF">
        <w:rPr>
          <w:rFonts w:asciiTheme="minorHAnsi" w:hAnsiTheme="minorHAnsi"/>
          <w:spacing w:val="-4"/>
        </w:rPr>
        <w:t xml:space="preserve"> </w:t>
      </w:r>
      <w:r w:rsidRPr="001F30AF">
        <w:rPr>
          <w:rFonts w:asciiTheme="minorHAnsi" w:hAnsiTheme="minorHAnsi"/>
        </w:rPr>
        <w:t>how</w:t>
      </w:r>
      <w:r w:rsidRPr="001F30AF">
        <w:rPr>
          <w:rFonts w:asciiTheme="minorHAnsi" w:hAnsiTheme="minorHAnsi"/>
          <w:spacing w:val="-4"/>
        </w:rPr>
        <w:t xml:space="preserve"> </w:t>
      </w:r>
      <w:r w:rsidRPr="001F30AF">
        <w:rPr>
          <w:rFonts w:asciiTheme="minorHAnsi" w:hAnsiTheme="minorHAnsi"/>
        </w:rPr>
        <w:t>long</w:t>
      </w:r>
      <w:r w:rsidRPr="001F30AF">
        <w:rPr>
          <w:rFonts w:asciiTheme="minorHAnsi" w:hAnsiTheme="minorHAnsi"/>
          <w:spacing w:val="-6"/>
        </w:rPr>
        <w:t xml:space="preserve"> </w:t>
      </w:r>
      <w:r w:rsidRPr="001F30AF">
        <w:rPr>
          <w:rFonts w:asciiTheme="minorHAnsi" w:hAnsiTheme="minorHAnsi"/>
        </w:rPr>
        <w:t>a</w:t>
      </w:r>
      <w:r w:rsidRPr="001F30AF">
        <w:rPr>
          <w:rFonts w:asciiTheme="minorHAnsi" w:hAnsiTheme="minorHAnsi"/>
          <w:spacing w:val="-4"/>
        </w:rPr>
        <w:t xml:space="preserve"> </w:t>
      </w:r>
      <w:r w:rsidRPr="001F30AF">
        <w:rPr>
          <w:rFonts w:asciiTheme="minorHAnsi" w:hAnsiTheme="minorHAnsi"/>
        </w:rPr>
        <w:t>negative</w:t>
      </w:r>
      <w:r w:rsidRPr="001F30AF">
        <w:rPr>
          <w:rFonts w:asciiTheme="minorHAnsi" w:hAnsiTheme="minorHAnsi"/>
          <w:spacing w:val="-4"/>
        </w:rPr>
        <w:t xml:space="preserve"> </w:t>
      </w:r>
      <w:r w:rsidRPr="001F30AF">
        <w:rPr>
          <w:rFonts w:asciiTheme="minorHAnsi" w:hAnsiTheme="minorHAnsi"/>
        </w:rPr>
        <w:t>survey (a survey</w:t>
      </w:r>
      <w:r w:rsidRPr="001F30AF">
        <w:rPr>
          <w:rFonts w:asciiTheme="minorHAnsi" w:hAnsiTheme="minorHAnsi"/>
          <w:spacing w:val="-1"/>
        </w:rPr>
        <w:t xml:space="preserve"> </w:t>
      </w:r>
      <w:r w:rsidRPr="001F30AF">
        <w:rPr>
          <w:rFonts w:asciiTheme="minorHAnsi" w:hAnsiTheme="minorHAnsi"/>
        </w:rPr>
        <w:t>where no listed species was found) remains valid.</w:t>
      </w:r>
      <w:r w:rsidRPr="001F30AF">
        <w:rPr>
          <w:rFonts w:asciiTheme="minorHAnsi" w:hAnsiTheme="minorHAnsi"/>
          <w:spacing w:val="40"/>
        </w:rPr>
        <w:t xml:space="preserve"> </w:t>
      </w:r>
      <w:r w:rsidRPr="001F30AF">
        <w:rPr>
          <w:rFonts w:asciiTheme="minorHAnsi" w:hAnsiTheme="minorHAnsi"/>
        </w:rPr>
        <w:t>These timeframes provide general recommendations; site-specific circumstances may require that these general guidelines be modified.</w:t>
      </w:r>
    </w:p>
    <w:p w14:paraId="062720E7" w14:textId="77777777" w:rsidR="001F30AF" w:rsidRDefault="001F30AF" w:rsidP="001F30AF">
      <w:pPr>
        <w:pStyle w:val="BodyText"/>
        <w:spacing w:line="247" w:lineRule="auto"/>
        <w:ind w:left="119" w:right="116"/>
        <w:rPr>
          <w:rFonts w:asciiTheme="minorHAnsi" w:hAnsiTheme="minorHAnsi"/>
        </w:rPr>
      </w:pPr>
    </w:p>
    <w:p w14:paraId="27208C20" w14:textId="2FB5ED9C" w:rsidR="001F30AF" w:rsidRPr="001F30AF" w:rsidRDefault="001F30AF" w:rsidP="001F30AF">
      <w:pPr>
        <w:pStyle w:val="BodyText"/>
        <w:spacing w:line="247" w:lineRule="auto"/>
        <w:ind w:left="119" w:right="116"/>
        <w:rPr>
          <w:rFonts w:asciiTheme="minorHAnsi" w:hAnsiTheme="minorHAnsi"/>
        </w:rPr>
      </w:pPr>
      <w:r w:rsidRPr="001F30AF">
        <w:rPr>
          <w:rFonts w:asciiTheme="minorHAnsi" w:hAnsiTheme="minorHAnsi"/>
        </w:rPr>
        <w:t xml:space="preserve">Surveys for listed species not on this list are dealt with on a case-by-case basis and should be coordinated with the U.S. Fish and Wildlife Service and either the Virginia Department of </w:t>
      </w:r>
      <w:r>
        <w:rPr>
          <w:rFonts w:asciiTheme="minorHAnsi" w:hAnsiTheme="minorHAnsi"/>
        </w:rPr>
        <w:t>Wildlife Resources</w:t>
      </w:r>
      <w:r w:rsidRPr="001F30AF">
        <w:rPr>
          <w:rFonts w:asciiTheme="minorHAnsi" w:hAnsiTheme="minorHAnsi"/>
          <w:spacing w:val="-5"/>
        </w:rPr>
        <w:t xml:space="preserve"> </w:t>
      </w:r>
      <w:r w:rsidRPr="001F30AF">
        <w:rPr>
          <w:rFonts w:asciiTheme="minorHAnsi" w:hAnsiTheme="minorHAnsi"/>
        </w:rPr>
        <w:t>(for</w:t>
      </w:r>
      <w:r w:rsidRPr="001F30AF">
        <w:rPr>
          <w:rFonts w:asciiTheme="minorHAnsi" w:hAnsiTheme="minorHAnsi"/>
          <w:spacing w:val="-6"/>
        </w:rPr>
        <w:t xml:space="preserve"> </w:t>
      </w:r>
      <w:r w:rsidRPr="001F30AF">
        <w:rPr>
          <w:rFonts w:asciiTheme="minorHAnsi" w:hAnsiTheme="minorHAnsi"/>
        </w:rPr>
        <w:t>non-insects)</w:t>
      </w:r>
      <w:r w:rsidRPr="001F30AF">
        <w:rPr>
          <w:rFonts w:asciiTheme="minorHAnsi" w:hAnsiTheme="minorHAnsi"/>
          <w:spacing w:val="-6"/>
        </w:rPr>
        <w:t xml:space="preserve"> </w:t>
      </w:r>
      <w:r w:rsidRPr="001F30AF">
        <w:rPr>
          <w:rFonts w:asciiTheme="minorHAnsi" w:hAnsiTheme="minorHAnsi"/>
        </w:rPr>
        <w:t>or</w:t>
      </w:r>
      <w:r w:rsidRPr="001F30AF">
        <w:rPr>
          <w:rFonts w:asciiTheme="minorHAnsi" w:hAnsiTheme="minorHAnsi"/>
          <w:spacing w:val="-6"/>
        </w:rPr>
        <w:t xml:space="preserve"> </w:t>
      </w:r>
      <w:r w:rsidRPr="001F30AF">
        <w:rPr>
          <w:rFonts w:asciiTheme="minorHAnsi" w:hAnsiTheme="minorHAnsi"/>
        </w:rPr>
        <w:t>the</w:t>
      </w:r>
      <w:r w:rsidRPr="001F30AF">
        <w:rPr>
          <w:rFonts w:asciiTheme="minorHAnsi" w:hAnsiTheme="minorHAnsi"/>
          <w:spacing w:val="-6"/>
        </w:rPr>
        <w:t xml:space="preserve"> </w:t>
      </w:r>
      <w:r w:rsidRPr="001F30AF">
        <w:rPr>
          <w:rFonts w:asciiTheme="minorHAnsi" w:hAnsiTheme="minorHAnsi"/>
        </w:rPr>
        <w:t>Virginia</w:t>
      </w:r>
      <w:r w:rsidRPr="001F30AF">
        <w:rPr>
          <w:rFonts w:asciiTheme="minorHAnsi" w:hAnsiTheme="minorHAnsi"/>
          <w:spacing w:val="-6"/>
        </w:rPr>
        <w:t xml:space="preserve"> </w:t>
      </w:r>
      <w:r w:rsidRPr="001F30AF">
        <w:rPr>
          <w:rFonts w:asciiTheme="minorHAnsi" w:hAnsiTheme="minorHAnsi"/>
        </w:rPr>
        <w:t>Department</w:t>
      </w:r>
      <w:r w:rsidRPr="001F30AF">
        <w:rPr>
          <w:rFonts w:asciiTheme="minorHAnsi" w:hAnsiTheme="minorHAnsi"/>
          <w:spacing w:val="-5"/>
        </w:rPr>
        <w:t xml:space="preserve"> </w:t>
      </w:r>
      <w:r w:rsidRPr="001F30AF">
        <w:rPr>
          <w:rFonts w:asciiTheme="minorHAnsi" w:hAnsiTheme="minorHAnsi"/>
        </w:rPr>
        <w:t>of</w:t>
      </w:r>
      <w:r w:rsidRPr="001F30AF">
        <w:rPr>
          <w:rFonts w:asciiTheme="minorHAnsi" w:hAnsiTheme="minorHAnsi"/>
          <w:spacing w:val="-6"/>
        </w:rPr>
        <w:t xml:space="preserve"> </w:t>
      </w:r>
      <w:r w:rsidRPr="001F30AF">
        <w:rPr>
          <w:rFonts w:asciiTheme="minorHAnsi" w:hAnsiTheme="minorHAnsi"/>
        </w:rPr>
        <w:t>Agriculture</w:t>
      </w:r>
      <w:r w:rsidRPr="001F30AF">
        <w:rPr>
          <w:rFonts w:asciiTheme="minorHAnsi" w:hAnsiTheme="minorHAnsi"/>
          <w:spacing w:val="-6"/>
        </w:rPr>
        <w:t xml:space="preserve"> </w:t>
      </w:r>
      <w:r w:rsidRPr="001F30AF">
        <w:rPr>
          <w:rFonts w:asciiTheme="minorHAnsi" w:hAnsiTheme="minorHAnsi"/>
        </w:rPr>
        <w:t>and</w:t>
      </w:r>
      <w:r w:rsidRPr="001F30AF">
        <w:rPr>
          <w:rFonts w:asciiTheme="minorHAnsi" w:hAnsiTheme="minorHAnsi"/>
          <w:spacing w:val="-5"/>
        </w:rPr>
        <w:t xml:space="preserve"> </w:t>
      </w:r>
      <w:r w:rsidRPr="001F30AF">
        <w:rPr>
          <w:rFonts w:asciiTheme="minorHAnsi" w:hAnsiTheme="minorHAnsi"/>
        </w:rPr>
        <w:t>Consumer</w:t>
      </w:r>
      <w:r w:rsidRPr="001F30AF">
        <w:rPr>
          <w:rFonts w:asciiTheme="minorHAnsi" w:hAnsiTheme="minorHAnsi"/>
          <w:spacing w:val="-6"/>
        </w:rPr>
        <w:t xml:space="preserve"> </w:t>
      </w:r>
      <w:r w:rsidRPr="001F30AF">
        <w:rPr>
          <w:rFonts w:asciiTheme="minorHAnsi" w:hAnsiTheme="minorHAnsi"/>
        </w:rPr>
        <w:t>Services</w:t>
      </w:r>
      <w:r w:rsidRPr="001F30AF">
        <w:rPr>
          <w:rFonts w:asciiTheme="minorHAnsi" w:hAnsiTheme="minorHAnsi"/>
          <w:spacing w:val="-5"/>
        </w:rPr>
        <w:t xml:space="preserve"> </w:t>
      </w:r>
      <w:r w:rsidRPr="001F30AF">
        <w:rPr>
          <w:rFonts w:asciiTheme="minorHAnsi" w:hAnsiTheme="minorHAnsi"/>
        </w:rPr>
        <w:t xml:space="preserve">(for </w:t>
      </w:r>
      <w:r w:rsidRPr="001F30AF">
        <w:rPr>
          <w:rFonts w:asciiTheme="minorHAnsi" w:hAnsiTheme="minorHAnsi"/>
          <w:spacing w:val="-2"/>
        </w:rPr>
        <w:t>insects).</w:t>
      </w:r>
    </w:p>
    <w:p w14:paraId="25528015" w14:textId="6908611F" w:rsidR="001F30AF" w:rsidRDefault="001F30AF" w:rsidP="001F30AF"/>
    <w:tbl>
      <w:tblPr>
        <w:tblStyle w:val="TableGrid"/>
        <w:tblW w:w="0" w:type="auto"/>
        <w:tblLook w:val="04A0" w:firstRow="1" w:lastRow="0" w:firstColumn="1" w:lastColumn="0" w:noHBand="0" w:noVBand="1"/>
        <w:tblCaption w:val="Animal Survey Validity Guidlines"/>
        <w:tblDescription w:val="Table contains species type and the number of years a negative survey is valid."/>
      </w:tblPr>
      <w:tblGrid>
        <w:gridCol w:w="4675"/>
        <w:gridCol w:w="4675"/>
      </w:tblGrid>
      <w:tr w:rsidR="001F30AF" w14:paraId="457FC960" w14:textId="77777777" w:rsidTr="001F30AF">
        <w:trPr>
          <w:cantSplit/>
          <w:tblHeader/>
        </w:trPr>
        <w:tc>
          <w:tcPr>
            <w:tcW w:w="4675" w:type="dxa"/>
          </w:tcPr>
          <w:p w14:paraId="20D10027" w14:textId="3626B1D6" w:rsidR="001F30AF" w:rsidRPr="001F30AF" w:rsidRDefault="001F30AF" w:rsidP="001F30AF">
            <w:pPr>
              <w:rPr>
                <w:b/>
                <w:bCs/>
              </w:rPr>
            </w:pPr>
            <w:r w:rsidRPr="001F30AF">
              <w:rPr>
                <w:b/>
                <w:bCs/>
              </w:rPr>
              <w:t>Ta</w:t>
            </w:r>
            <w:bookmarkStart w:id="0" w:name="Title_Animal_Survey_Validity_Guidelines"/>
            <w:bookmarkEnd w:id="0"/>
            <w:r w:rsidRPr="001F30AF">
              <w:rPr>
                <w:b/>
                <w:bCs/>
              </w:rPr>
              <w:t>xon/Species</w:t>
            </w:r>
          </w:p>
        </w:tc>
        <w:tc>
          <w:tcPr>
            <w:tcW w:w="4675" w:type="dxa"/>
          </w:tcPr>
          <w:p w14:paraId="0CFF9EE7" w14:textId="733950DF" w:rsidR="001F30AF" w:rsidRPr="001F30AF" w:rsidRDefault="001F30AF" w:rsidP="001F30AF">
            <w:pPr>
              <w:rPr>
                <w:b/>
                <w:bCs/>
              </w:rPr>
            </w:pPr>
            <w:r w:rsidRPr="001F30AF">
              <w:rPr>
                <w:b/>
                <w:bCs/>
              </w:rPr>
              <w:t>Number of Years a Negative Survey is Valid</w:t>
            </w:r>
          </w:p>
        </w:tc>
      </w:tr>
      <w:tr w:rsidR="001F30AF" w14:paraId="74BCE93C" w14:textId="77777777" w:rsidTr="001F30AF">
        <w:tc>
          <w:tcPr>
            <w:tcW w:w="4675" w:type="dxa"/>
          </w:tcPr>
          <w:p w14:paraId="525D5053" w14:textId="15802BE8" w:rsidR="001F30AF" w:rsidRDefault="001F30AF" w:rsidP="001F30AF">
            <w:r>
              <w:t>All listed bats</w:t>
            </w:r>
          </w:p>
        </w:tc>
        <w:tc>
          <w:tcPr>
            <w:tcW w:w="4675" w:type="dxa"/>
          </w:tcPr>
          <w:p w14:paraId="60DF61EF" w14:textId="712115B5" w:rsidR="001F30AF" w:rsidRDefault="001F30AF" w:rsidP="001F30AF">
            <w:r>
              <w:t>5</w:t>
            </w:r>
          </w:p>
        </w:tc>
      </w:tr>
      <w:tr w:rsidR="001F30AF" w14:paraId="613E060C" w14:textId="77777777" w:rsidTr="001F30AF">
        <w:tc>
          <w:tcPr>
            <w:tcW w:w="4675" w:type="dxa"/>
          </w:tcPr>
          <w:p w14:paraId="0E4C93B8" w14:textId="3012BAD7" w:rsidR="001F30AF" w:rsidRDefault="001F30AF" w:rsidP="001F30AF">
            <w:r>
              <w:t>All listed fish</w:t>
            </w:r>
          </w:p>
        </w:tc>
        <w:tc>
          <w:tcPr>
            <w:tcW w:w="4675" w:type="dxa"/>
          </w:tcPr>
          <w:p w14:paraId="2ACBA322" w14:textId="59968898" w:rsidR="001F30AF" w:rsidRDefault="001F30AF" w:rsidP="001F30AF">
            <w:r>
              <w:t>2</w:t>
            </w:r>
          </w:p>
        </w:tc>
      </w:tr>
      <w:tr w:rsidR="001F30AF" w14:paraId="01266277" w14:textId="77777777" w:rsidTr="001F30AF">
        <w:tc>
          <w:tcPr>
            <w:tcW w:w="4675" w:type="dxa"/>
          </w:tcPr>
          <w:p w14:paraId="237AEB21" w14:textId="196D0C2E" w:rsidR="001F30AF" w:rsidRDefault="001F30AF" w:rsidP="001F30AF">
            <w:r>
              <w:t>All listed isopods</w:t>
            </w:r>
          </w:p>
        </w:tc>
        <w:tc>
          <w:tcPr>
            <w:tcW w:w="4675" w:type="dxa"/>
          </w:tcPr>
          <w:p w14:paraId="3D9B12A0" w14:textId="0778FA42" w:rsidR="001F30AF" w:rsidRDefault="001F30AF" w:rsidP="001F30AF">
            <w:r>
              <w:t>3</w:t>
            </w:r>
          </w:p>
        </w:tc>
      </w:tr>
      <w:tr w:rsidR="001F30AF" w14:paraId="21CDE10E" w14:textId="77777777" w:rsidTr="001F30AF">
        <w:tc>
          <w:tcPr>
            <w:tcW w:w="4675" w:type="dxa"/>
          </w:tcPr>
          <w:p w14:paraId="389C16A5" w14:textId="40603273" w:rsidR="001F30AF" w:rsidRDefault="001F30AF" w:rsidP="001F30AF">
            <w:r>
              <w:t>All listed mussels</w:t>
            </w:r>
          </w:p>
        </w:tc>
        <w:tc>
          <w:tcPr>
            <w:tcW w:w="4675" w:type="dxa"/>
          </w:tcPr>
          <w:p w14:paraId="571D803F" w14:textId="457C319B" w:rsidR="001F30AF" w:rsidRDefault="001F30AF" w:rsidP="001F30AF">
            <w:r>
              <w:t>2</w:t>
            </w:r>
          </w:p>
        </w:tc>
      </w:tr>
      <w:tr w:rsidR="001F30AF" w14:paraId="6BB6DDBB" w14:textId="77777777" w:rsidTr="001F30AF">
        <w:tc>
          <w:tcPr>
            <w:tcW w:w="4675" w:type="dxa"/>
          </w:tcPr>
          <w:p w14:paraId="723FACB3" w14:textId="139F7EB1" w:rsidR="001F30AF" w:rsidRDefault="001F30AF" w:rsidP="001F30AF">
            <w:r>
              <w:rPr>
                <w:sz w:val="24"/>
              </w:rPr>
              <w:t>Shenandoah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salamander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Plethodon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shenandoah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675" w:type="dxa"/>
          </w:tcPr>
          <w:p w14:paraId="0FD14E55" w14:textId="68CC02C6" w:rsidR="001F30AF" w:rsidRDefault="001F30AF" w:rsidP="001F30AF">
            <w:r>
              <w:t>3</w:t>
            </w:r>
          </w:p>
        </w:tc>
      </w:tr>
    </w:tbl>
    <w:p w14:paraId="0182DBA6" w14:textId="759341CA" w:rsidR="001F30AF" w:rsidRDefault="001F30AF" w:rsidP="001F30AF"/>
    <w:p w14:paraId="2D4FD6BF" w14:textId="715B684C" w:rsidR="001F30AF" w:rsidRDefault="001F30AF" w:rsidP="001F30AF">
      <w:r>
        <w:t xml:space="preserve">All listed bats negative surveys are valid for five years, provided that survey was completed using the </w:t>
      </w:r>
      <w:hyperlink r:id="rId4" w:history="1">
        <w:r w:rsidRPr="001F30AF">
          <w:rPr>
            <w:rStyle w:val="Hyperlink"/>
          </w:rPr>
          <w:t>Range-wide Indiana Bat and Northern Long-eared Bat Survey Guidelines</w:t>
        </w:r>
      </w:hyperlink>
      <w:r>
        <w:t xml:space="preserve">. A survey completed using previous guidelines remains valid for three years. </w:t>
      </w:r>
    </w:p>
    <w:p w14:paraId="5ABD31A8" w14:textId="2726D239" w:rsidR="00482513" w:rsidRDefault="00482513" w:rsidP="001F30AF"/>
    <w:p w14:paraId="175BA688" w14:textId="5EB77702" w:rsidR="00482513" w:rsidRDefault="00482513" w:rsidP="001F30AF">
      <w:r>
        <w:t>Last updated May 11, 2022</w:t>
      </w:r>
    </w:p>
    <w:p w14:paraId="3F5D6E14" w14:textId="250BD6A0" w:rsidR="00482513" w:rsidRPr="001F30AF" w:rsidRDefault="00482513" w:rsidP="001F30AF">
      <w:r>
        <w:t>Prepared by the Virginia Field office, U.S. Fish and Wildlife Service</w:t>
      </w:r>
    </w:p>
    <w:sectPr w:rsidR="00482513" w:rsidRPr="001F3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AF"/>
    <w:rsid w:val="001F30AF"/>
    <w:rsid w:val="0048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C0A6"/>
  <w15:chartTrackingRefBased/>
  <w15:docId w15:val="{145C8335-B9B0-4696-A40C-86BA4C92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0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F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F30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30A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30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ws.gov/media/range-wide-indiana-bat-and-northern-long-eared-bat-survey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Katie</dc:creator>
  <cp:keywords/>
  <dc:description/>
  <cp:lastModifiedBy>Whitfield, Katie</cp:lastModifiedBy>
  <cp:revision>1</cp:revision>
  <dcterms:created xsi:type="dcterms:W3CDTF">2022-05-11T12:44:00Z</dcterms:created>
  <dcterms:modified xsi:type="dcterms:W3CDTF">2022-05-11T12:57:00Z</dcterms:modified>
</cp:coreProperties>
</file>